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26AA" w14:textId="46ED5E13" w:rsidR="00460523" w:rsidRPr="0059761E" w:rsidRDefault="00460523" w:rsidP="00CA128E">
      <w:pPr>
        <w:pStyle w:val="Nagwek1"/>
        <w:spacing w:before="240"/>
        <w:rPr>
          <w:rFonts w:ascii="Arial" w:eastAsia="Calibri" w:hAnsi="Arial" w:cs="Arial"/>
          <w:color w:val="000000" w:themeColor="text1"/>
          <w:sz w:val="24"/>
          <w:szCs w:val="24"/>
        </w:rPr>
      </w:pPr>
      <w:bookmarkStart w:id="0" w:name="_Hlk109640499"/>
    </w:p>
    <w:bookmarkEnd w:id="0"/>
    <w:p w14:paraId="02426BBE" w14:textId="5F2A5938" w:rsidR="00D25A3B" w:rsidRPr="008728A6" w:rsidRDefault="00C86A91" w:rsidP="00905722">
      <w:pPr>
        <w:pStyle w:val="Nagwek2"/>
        <w:spacing w:before="480" w:after="60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8728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Zobowiązanie stosowania mechanizmu monitorowania i wycofania </w:t>
      </w:r>
      <w:r w:rsidRPr="008728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 xml:space="preserve">w przypadku wykorzystania infrastruktury na cele prowadzenia </w:t>
      </w:r>
      <w:r w:rsidRPr="008728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br/>
        <w:t>działalności gospodarczej o charakterze pomocniczym</w:t>
      </w:r>
      <w:r w:rsidR="00446B45" w:rsidRPr="008728A6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78F02F9" w14:textId="209A9FF4" w:rsidR="001F59EC" w:rsidRPr="008728A6" w:rsidRDefault="001F59EC" w:rsidP="001F59EC">
      <w:pPr>
        <w:spacing w:before="120" w:after="120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8728A6">
        <w:rPr>
          <w:rFonts w:ascii="Arial" w:eastAsia="Times New Roman" w:hAnsi="Arial" w:cs="Arial"/>
          <w:b/>
          <w:bCs/>
          <w:lang w:eastAsia="pl-PL"/>
        </w:rPr>
        <w:t xml:space="preserve">Nazwa </w:t>
      </w:r>
      <w:proofErr w:type="spellStart"/>
      <w:r w:rsidR="006C451D" w:rsidRPr="008728A6">
        <w:rPr>
          <w:rFonts w:ascii="Arial" w:eastAsia="Times New Roman" w:hAnsi="Arial" w:cs="Arial"/>
          <w:b/>
          <w:bCs/>
          <w:lang w:eastAsia="pl-PL"/>
        </w:rPr>
        <w:t>Grantobiorcy</w:t>
      </w:r>
      <w:proofErr w:type="spellEnd"/>
      <w:r w:rsidR="006C451D" w:rsidRPr="008728A6">
        <w:rPr>
          <w:rFonts w:ascii="Arial" w:eastAsia="Times New Roman" w:hAnsi="Arial" w:cs="Arial"/>
          <w:b/>
          <w:bCs/>
          <w:lang w:eastAsia="pl-PL"/>
        </w:rPr>
        <w:t>……………………………………………</w:t>
      </w:r>
    </w:p>
    <w:p w14:paraId="3ECDDC67" w14:textId="77777777" w:rsidR="006C451D" w:rsidRPr="008728A6" w:rsidRDefault="001F59EC" w:rsidP="006C451D">
      <w:pPr>
        <w:pStyle w:val="Bezodstpw"/>
        <w:rPr>
          <w:rFonts w:ascii="Arial" w:hAnsi="Arial" w:cs="Arial"/>
          <w:i/>
          <w:iCs/>
          <w:sz w:val="20"/>
          <w:szCs w:val="20"/>
        </w:rPr>
      </w:pPr>
      <w:r w:rsidRPr="008728A6">
        <w:rPr>
          <w:rFonts w:ascii="Arial" w:eastAsia="Times New Roman" w:hAnsi="Arial" w:cs="Arial"/>
          <w:sz w:val="22"/>
          <w:szCs w:val="22"/>
          <w:lang w:eastAsia="pl-PL"/>
        </w:rPr>
        <w:t>Tytuł projektu</w:t>
      </w:r>
      <w:r w:rsidRPr="008728A6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: </w:t>
      </w:r>
      <w:r w:rsidR="006C451D" w:rsidRPr="008728A6">
        <w:rPr>
          <w:rFonts w:ascii="Arial" w:hAnsi="Arial" w:cs="Arial"/>
          <w:sz w:val="20"/>
          <w:szCs w:val="20"/>
        </w:rPr>
        <w:t>„</w:t>
      </w:r>
      <w:r w:rsidR="006C451D" w:rsidRPr="008728A6">
        <w:rPr>
          <w:rFonts w:ascii="Arial" w:hAnsi="Arial" w:cs="Arial"/>
          <w:i/>
          <w:iCs/>
          <w:sz w:val="20"/>
          <w:szCs w:val="20"/>
        </w:rPr>
        <w:t>Poprawa efektywności energetycznej budynków mieszkalnych na terenie Gminy Kłodzko poprzez wsparcie grantowe dla indywidualnych instalacji OZE</w:t>
      </w:r>
    </w:p>
    <w:p w14:paraId="33B6EF30" w14:textId="5997CCBA" w:rsidR="006C451D" w:rsidRPr="008728A6" w:rsidRDefault="006C451D" w:rsidP="006C451D">
      <w:pPr>
        <w:pStyle w:val="Bezodstpw"/>
        <w:rPr>
          <w:rFonts w:ascii="Arial" w:hAnsi="Arial" w:cs="Arial"/>
          <w:sz w:val="20"/>
          <w:szCs w:val="20"/>
        </w:rPr>
      </w:pPr>
      <w:r w:rsidRPr="008728A6">
        <w:rPr>
          <w:rFonts w:ascii="Arial" w:hAnsi="Arial" w:cs="Arial"/>
          <w:i/>
          <w:iCs/>
          <w:sz w:val="20"/>
          <w:szCs w:val="20"/>
        </w:rPr>
        <w:t xml:space="preserve">Nr Projektu: </w:t>
      </w:r>
      <w:bookmarkStart w:id="1" w:name="_Hlk70331753"/>
      <w:r w:rsidRPr="008728A6">
        <w:rPr>
          <w:rFonts w:ascii="Arial" w:hAnsi="Arial" w:cs="Arial"/>
          <w:sz w:val="20"/>
          <w:szCs w:val="20"/>
        </w:rPr>
        <w:t xml:space="preserve">nr </w:t>
      </w:r>
      <w:bookmarkEnd w:id="1"/>
      <w:r w:rsidRPr="008728A6">
        <w:rPr>
          <w:rFonts w:ascii="Arial" w:hAnsi="Arial" w:cs="Arial"/>
          <w:sz w:val="20"/>
          <w:szCs w:val="20"/>
        </w:rPr>
        <w:t>FEDS.09.06-IP.01-0001/25</w:t>
      </w:r>
    </w:p>
    <w:p w14:paraId="47F4C8F5" w14:textId="77777777" w:rsidR="008728A6" w:rsidRPr="008728A6" w:rsidRDefault="008728A6" w:rsidP="006C451D">
      <w:pPr>
        <w:pStyle w:val="Bezodstpw"/>
        <w:rPr>
          <w:rFonts w:ascii="Arial" w:hAnsi="Arial" w:cs="Arial"/>
          <w:sz w:val="20"/>
          <w:szCs w:val="20"/>
        </w:rPr>
      </w:pPr>
    </w:p>
    <w:p w14:paraId="5F441D48" w14:textId="192BF319" w:rsidR="005546E9" w:rsidRPr="008728A6" w:rsidRDefault="008728A6" w:rsidP="008728A6">
      <w:pPr>
        <w:pStyle w:val="Bezodstpw"/>
        <w:rPr>
          <w:rFonts w:ascii="Arial" w:hAnsi="Arial" w:cs="Arial"/>
          <w:sz w:val="20"/>
          <w:szCs w:val="20"/>
        </w:rPr>
      </w:pPr>
      <w:r w:rsidRPr="008728A6">
        <w:rPr>
          <w:rFonts w:ascii="Arial" w:hAnsi="Arial" w:cs="Arial"/>
          <w:sz w:val="20"/>
          <w:szCs w:val="20"/>
        </w:rPr>
        <w:t>Rodzaj instalacji i jej lokalizacja…………………………………………………………………..</w:t>
      </w:r>
    </w:p>
    <w:p w14:paraId="03811BE2" w14:textId="77777777" w:rsidR="008728A6" w:rsidRPr="008728A6" w:rsidRDefault="008728A6" w:rsidP="00975336">
      <w:pPr>
        <w:pStyle w:val="Bezodstpw"/>
        <w:jc w:val="both"/>
        <w:rPr>
          <w:rFonts w:ascii="Arial" w:hAnsi="Arial" w:cs="Arial"/>
          <w:iCs/>
          <w:sz w:val="20"/>
          <w:szCs w:val="20"/>
        </w:rPr>
      </w:pPr>
    </w:p>
    <w:p w14:paraId="6E0EE38A" w14:textId="22D37B79" w:rsidR="00CB7B4D" w:rsidRPr="008728A6" w:rsidRDefault="00CB7B4D" w:rsidP="00975336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8728A6">
        <w:rPr>
          <w:rFonts w:ascii="Arial" w:hAnsi="Arial" w:cs="Arial"/>
        </w:rPr>
        <w:t>Zobowiązuję się do stosowania „</w:t>
      </w:r>
      <w:r w:rsidR="004C1CF2" w:rsidRPr="008728A6">
        <w:rPr>
          <w:rFonts w:ascii="Arial" w:hAnsi="Arial" w:cs="Arial"/>
        </w:rPr>
        <w:t>Mechanizmu monitorowania i wycofania w przypadku wykorzystania infrastruktury na cele prowadzenia działalności gospodarczej o</w:t>
      </w:r>
      <w:r w:rsidR="00B02118" w:rsidRPr="008728A6">
        <w:rPr>
          <w:rFonts w:ascii="Arial" w:hAnsi="Arial" w:cs="Arial"/>
        </w:rPr>
        <w:t> </w:t>
      </w:r>
      <w:r w:rsidR="004C1CF2" w:rsidRPr="008728A6">
        <w:rPr>
          <w:rFonts w:ascii="Arial" w:hAnsi="Arial" w:cs="Arial"/>
        </w:rPr>
        <w:t xml:space="preserve">charakterze pomocniczym (dotyczy instalacji OZE nieobjętej pomocą publiczną/de </w:t>
      </w:r>
      <w:proofErr w:type="spellStart"/>
      <w:r w:rsidR="004C1CF2" w:rsidRPr="008728A6">
        <w:rPr>
          <w:rFonts w:ascii="Arial" w:hAnsi="Arial" w:cs="Arial"/>
        </w:rPr>
        <w:t>minimis</w:t>
      </w:r>
      <w:proofErr w:type="spellEnd"/>
      <w:r w:rsidR="004C1CF2" w:rsidRPr="008728A6">
        <w:rPr>
          <w:rFonts w:ascii="Arial" w:hAnsi="Arial" w:cs="Arial"/>
        </w:rPr>
        <w:t xml:space="preserve"> dla naborów dedykowanych OZE lub jeśli instalacja OZE jest elementem uzupełniającym)</w:t>
      </w:r>
      <w:r w:rsidR="00BC2DAB" w:rsidRPr="008728A6">
        <w:rPr>
          <w:rFonts w:ascii="Arial" w:hAnsi="Arial" w:cs="Arial"/>
        </w:rPr>
        <w:t>”</w:t>
      </w:r>
      <w:r w:rsidR="00B02118" w:rsidRPr="008728A6">
        <w:rPr>
          <w:rFonts w:ascii="Arial" w:hAnsi="Arial" w:cs="Arial"/>
        </w:rPr>
        <w:t xml:space="preserve"> </w:t>
      </w:r>
      <w:r w:rsidRPr="008728A6">
        <w:rPr>
          <w:rFonts w:ascii="Arial" w:hAnsi="Arial" w:cs="Arial"/>
        </w:rPr>
        <w:t>w przypadku wykorzystania infrastruktury na cele działalności gospodarczej o charakterze pomocniczym oraz przyjętych poniżej założeń przez cały okres amortyzacji każdego ze składników infrastruktury (niezależnie od okresu trwałości Projektu)</w:t>
      </w:r>
      <w:r w:rsidRPr="008728A6">
        <w:rPr>
          <w:rStyle w:val="Odwoanieprzypisudolnego"/>
          <w:rFonts w:ascii="Arial" w:hAnsi="Arial" w:cs="Arial"/>
          <w:bCs/>
        </w:rPr>
        <w:footnoteReference w:id="1"/>
      </w:r>
      <w:r w:rsidRPr="008728A6">
        <w:rPr>
          <w:rFonts w:ascii="Arial" w:hAnsi="Arial" w:cs="Arial"/>
        </w:rPr>
        <w:t>.</w:t>
      </w:r>
    </w:p>
    <w:p w14:paraId="577F764F" w14:textId="126C2A80" w:rsidR="00BC2DAB" w:rsidRPr="008728A6" w:rsidRDefault="005546E9" w:rsidP="00975336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8728A6">
        <w:rPr>
          <w:rFonts w:ascii="Arial" w:hAnsi="Arial" w:cs="Arial"/>
          <w:lang w:eastAsia="x-none"/>
        </w:rPr>
        <w:t>Zobowiązuje się dokonywać monitorowania sposobu wykorzystania infrastruktury w</w:t>
      </w:r>
      <w:r w:rsidR="00B02118" w:rsidRPr="008728A6">
        <w:rPr>
          <w:rFonts w:ascii="Arial" w:hAnsi="Arial" w:cs="Arial"/>
          <w:lang w:eastAsia="x-none"/>
        </w:rPr>
        <w:t> </w:t>
      </w:r>
      <w:r w:rsidRPr="008728A6">
        <w:rPr>
          <w:rFonts w:ascii="Arial" w:hAnsi="Arial" w:cs="Arial"/>
          <w:lang w:eastAsia="x-none"/>
        </w:rPr>
        <w:t>oparciu o poniższy wskaźnik (wskaźnik nie podlega zmianie w całym okresie monitorowania):</w:t>
      </w:r>
      <w:r w:rsidR="00FB1990" w:rsidRPr="008728A6">
        <w:rPr>
          <w:rFonts w:ascii="Arial" w:eastAsiaTheme="minorEastAsia" w:hAnsi="Arial" w:cs="Arial"/>
          <w:b/>
          <w:bCs/>
          <w:noProof/>
          <w:sz w:val="20"/>
        </w:rPr>
        <w:t>Ilość wytworzonej energii wprowadzonej do sieci i nie zużytej/nie rozliczonej na potrzeby własne w danym roku rozliczeniowym [kWh].</w:t>
      </w:r>
    </w:p>
    <w:p w14:paraId="6D8424AB" w14:textId="155008FF" w:rsidR="00CB7B4D" w:rsidRPr="008728A6" w:rsidRDefault="00CB7B4D" w:rsidP="00975336">
      <w:pPr>
        <w:numPr>
          <w:ilvl w:val="0"/>
          <w:numId w:val="3"/>
        </w:numPr>
        <w:spacing w:before="120" w:after="120"/>
        <w:ind w:right="282"/>
        <w:jc w:val="both"/>
        <w:rPr>
          <w:rFonts w:ascii="Arial" w:hAnsi="Arial" w:cs="Arial"/>
          <w:lang w:eastAsia="x-none"/>
        </w:rPr>
      </w:pPr>
      <w:r w:rsidRPr="008728A6">
        <w:rPr>
          <w:rFonts w:ascii="Arial" w:hAnsi="Arial" w:cs="Arial"/>
          <w:lang w:eastAsia="x-none"/>
        </w:rPr>
        <w:t xml:space="preserve">Zobowiązuję się stosować wybraną poniżej metodę amortyzacji przez cały okres objęty </w:t>
      </w:r>
      <w:r w:rsidR="00975336">
        <w:rPr>
          <w:rFonts w:ascii="Arial" w:hAnsi="Arial" w:cs="Arial"/>
          <w:lang w:eastAsia="x-none"/>
        </w:rPr>
        <w:t>m</w:t>
      </w:r>
      <w:r w:rsidRPr="008728A6">
        <w:rPr>
          <w:rFonts w:ascii="Arial" w:hAnsi="Arial" w:cs="Arial"/>
          <w:lang w:eastAsia="x-none"/>
        </w:rPr>
        <w:t>echanizmem monitorowania i wycofania</w:t>
      </w:r>
      <w:r w:rsidRPr="008728A6">
        <w:rPr>
          <w:rFonts w:ascii="Arial" w:hAnsi="Arial" w:cs="Arial"/>
        </w:rPr>
        <w:t xml:space="preserve"> </w:t>
      </w:r>
      <w:r w:rsidRPr="008728A6">
        <w:rPr>
          <w:rFonts w:ascii="Arial" w:hAnsi="Arial" w:cs="Arial"/>
          <w:lang w:eastAsia="x-none"/>
        </w:rPr>
        <w:t>niezależnie od okresu trwałości Projektu (to znaczy przez cały okres amortyzacji</w:t>
      </w:r>
      <w:r w:rsidRPr="008728A6">
        <w:rPr>
          <w:rFonts w:ascii="Arial" w:hAnsi="Arial" w:cs="Arial"/>
        </w:rPr>
        <w:t xml:space="preserve"> </w:t>
      </w:r>
      <w:r w:rsidRPr="008728A6">
        <w:rPr>
          <w:rFonts w:ascii="Arial" w:hAnsi="Arial" w:cs="Arial"/>
          <w:lang w:eastAsia="x-none"/>
        </w:rPr>
        <w:t>każdego ze składników infrastruktury)</w:t>
      </w:r>
      <w:r w:rsidRPr="008728A6">
        <w:rPr>
          <w:rStyle w:val="Odwoanieprzypisudolnego"/>
          <w:rFonts w:ascii="Arial" w:hAnsi="Arial" w:cs="Arial"/>
          <w:lang w:eastAsia="x-none"/>
        </w:rPr>
        <w:footnoteReference w:id="2"/>
      </w:r>
      <w:r w:rsidRPr="008728A6">
        <w:rPr>
          <w:rFonts w:ascii="Arial" w:hAnsi="Arial" w:cs="Arial"/>
          <w:lang w:eastAsia="x-none"/>
        </w:rPr>
        <w:t>.</w:t>
      </w:r>
    </w:p>
    <w:p w14:paraId="194065F1" w14:textId="63BBCA03" w:rsidR="00CE50E0" w:rsidRPr="008728A6" w:rsidRDefault="00CB7B4D" w:rsidP="00CE50E0">
      <w:pPr>
        <w:spacing w:before="120" w:after="120"/>
        <w:ind w:right="284"/>
        <w:rPr>
          <w:rFonts w:ascii="Arial" w:hAnsi="Arial" w:cs="Arial"/>
          <w:lang w:eastAsia="x-none"/>
        </w:rPr>
      </w:pPr>
      <w:r w:rsidRPr="008728A6">
        <w:rPr>
          <w:rFonts w:ascii="Arial" w:hAnsi="Arial" w:cs="Arial"/>
          <w:lang w:eastAsia="x-none"/>
        </w:rPr>
        <w:t xml:space="preserve">Wybrana metoda amortyzacji: </w:t>
      </w:r>
      <w:r w:rsidR="00091030">
        <w:rPr>
          <w:rFonts w:ascii="Arial" w:hAnsi="Arial" w:cs="Arial"/>
          <w:lang w:eastAsia="x-none"/>
        </w:rPr>
        <w:t>……………………………………..</w:t>
      </w:r>
      <w:r w:rsidR="00CE50E0" w:rsidRPr="008728A6">
        <w:rPr>
          <w:rFonts w:ascii="Arial" w:hAnsi="Arial" w:cs="Arial"/>
          <w:lang w:eastAsia="x-none"/>
        </w:rPr>
        <w:t xml:space="preserve"> </w:t>
      </w:r>
    </w:p>
    <w:p w14:paraId="6BFF4B28" w14:textId="1E6AB46E" w:rsidR="00157039" w:rsidRPr="008728A6" w:rsidRDefault="00CB7B4D" w:rsidP="00157039">
      <w:pPr>
        <w:spacing w:before="120" w:after="120"/>
        <w:ind w:right="284"/>
        <w:rPr>
          <w:rFonts w:ascii="Arial" w:hAnsi="Arial" w:cs="Arial"/>
          <w:lang w:eastAsia="x-none"/>
        </w:rPr>
      </w:pPr>
      <w:r w:rsidRPr="008728A6">
        <w:rPr>
          <w:rFonts w:ascii="Arial" w:hAnsi="Arial" w:cs="Arial"/>
          <w:lang w:eastAsia="x-none"/>
        </w:rPr>
        <w:t>Uzasadnienie:</w:t>
      </w:r>
      <w:r w:rsidR="00157039" w:rsidRPr="008728A6">
        <w:rPr>
          <w:rFonts w:ascii="Arial" w:hAnsi="Arial" w:cs="Arial"/>
          <w:lang w:eastAsia="x-none"/>
        </w:rPr>
        <w:t xml:space="preserve"> </w:t>
      </w:r>
      <w:r w:rsidR="00091030">
        <w:rPr>
          <w:rFonts w:ascii="Arial" w:hAnsi="Arial" w:cs="Arial"/>
          <w:lang w:eastAsia="x-none"/>
        </w:rPr>
        <w:t>…………………………………………………..</w:t>
      </w:r>
    </w:p>
    <w:p w14:paraId="70AAD5CD" w14:textId="4EAD5E16" w:rsidR="00CB7B4D" w:rsidRPr="008728A6" w:rsidRDefault="00CB7B4D" w:rsidP="00975336">
      <w:pPr>
        <w:spacing w:before="120" w:after="120"/>
        <w:ind w:right="282"/>
        <w:jc w:val="both"/>
        <w:rPr>
          <w:rFonts w:ascii="Arial" w:hAnsi="Arial" w:cs="Arial"/>
          <w:lang w:eastAsia="x-none"/>
        </w:rPr>
      </w:pPr>
      <w:r w:rsidRPr="008728A6">
        <w:rPr>
          <w:rFonts w:ascii="Arial" w:hAnsi="Arial" w:cs="Arial"/>
          <w:lang w:eastAsia="x-none"/>
        </w:rPr>
        <w:lastRenderedPageBreak/>
        <w:t xml:space="preserve">Zobowiązuję się stosować opisany poniżej czas amortyzacji składników infrastruktury </w:t>
      </w:r>
      <w:r w:rsidRPr="008728A6">
        <w:rPr>
          <w:rFonts w:ascii="Arial" w:hAnsi="Arial" w:cs="Arial"/>
        </w:rPr>
        <w:t>i </w:t>
      </w:r>
      <w:r w:rsidRPr="008728A6">
        <w:rPr>
          <w:rFonts w:ascii="Arial" w:hAnsi="Arial" w:cs="Arial"/>
          <w:lang w:eastAsia="x-none"/>
        </w:rPr>
        <w:t xml:space="preserve">monitorować sposób wykorzystania każdego ze składników przez </w:t>
      </w:r>
      <w:r w:rsidR="00631DA6" w:rsidRPr="008728A6">
        <w:rPr>
          <w:rFonts w:ascii="Arial" w:hAnsi="Arial" w:cs="Arial"/>
          <w:lang w:eastAsia="x-none"/>
        </w:rPr>
        <w:t xml:space="preserve">cały </w:t>
      </w:r>
      <w:r w:rsidRPr="008728A6">
        <w:rPr>
          <w:rFonts w:ascii="Arial" w:hAnsi="Arial" w:cs="Arial"/>
          <w:bCs/>
        </w:rPr>
        <w:t>okres amortyzacji każdego ze składników infrastruktury</w:t>
      </w:r>
      <w:r w:rsidR="00631DA6" w:rsidRPr="008728A6">
        <w:rPr>
          <w:rFonts w:ascii="Arial" w:hAnsi="Arial" w:cs="Arial"/>
          <w:bCs/>
        </w:rPr>
        <w:t>,</w:t>
      </w:r>
      <w:r w:rsidRPr="008728A6">
        <w:rPr>
          <w:rFonts w:ascii="Arial" w:hAnsi="Arial" w:cs="Arial"/>
          <w:bCs/>
        </w:rPr>
        <w:t xml:space="preserve"> niezależnie od okresu trwałości Projektu</w:t>
      </w:r>
      <w:r w:rsidRPr="008728A6">
        <w:rPr>
          <w:rStyle w:val="Odwoanieprzypisudolnego"/>
          <w:rFonts w:ascii="Arial" w:hAnsi="Arial" w:cs="Arial"/>
          <w:bCs/>
        </w:rPr>
        <w:footnoteReference w:id="3"/>
      </w:r>
      <w:r w:rsidRPr="008728A6">
        <w:rPr>
          <w:rFonts w:ascii="Arial" w:hAnsi="Arial" w:cs="Arial"/>
          <w:bCs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582"/>
        <w:gridCol w:w="3067"/>
      </w:tblGrid>
      <w:tr w:rsidR="00CB7B4D" w:rsidRPr="008728A6" w14:paraId="7C769838" w14:textId="77777777" w:rsidTr="00CB7B4D">
        <w:trPr>
          <w:trHeight w:val="567"/>
        </w:trPr>
        <w:tc>
          <w:tcPr>
            <w:tcW w:w="594" w:type="dxa"/>
          </w:tcPr>
          <w:p w14:paraId="64D8FC3A" w14:textId="77777777" w:rsidR="00CB7B4D" w:rsidRPr="008728A6" w:rsidRDefault="00CB7B4D" w:rsidP="007F15B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728A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582" w:type="dxa"/>
          </w:tcPr>
          <w:p w14:paraId="7351267E" w14:textId="77777777" w:rsidR="00CB7B4D" w:rsidRPr="008728A6" w:rsidRDefault="00CB7B4D" w:rsidP="007F15B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728A6">
              <w:rPr>
                <w:rFonts w:ascii="Arial" w:hAnsi="Arial" w:cs="Arial"/>
                <w:b/>
                <w:sz w:val="22"/>
                <w:szCs w:val="22"/>
              </w:rPr>
              <w:t>Składnik infrastruktury</w:t>
            </w:r>
          </w:p>
        </w:tc>
        <w:tc>
          <w:tcPr>
            <w:tcW w:w="3067" w:type="dxa"/>
          </w:tcPr>
          <w:p w14:paraId="0B3E9F6C" w14:textId="77777777" w:rsidR="00CB7B4D" w:rsidRPr="008728A6" w:rsidRDefault="00CB7B4D" w:rsidP="007F15B2">
            <w:pPr>
              <w:pStyle w:val="Akapitzlist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728A6">
              <w:rPr>
                <w:rFonts w:ascii="Arial" w:hAnsi="Arial" w:cs="Arial"/>
                <w:b/>
                <w:sz w:val="22"/>
                <w:szCs w:val="22"/>
              </w:rPr>
              <w:t>Okres amortyzacji</w:t>
            </w:r>
          </w:p>
        </w:tc>
      </w:tr>
      <w:tr w:rsidR="00CB7B4D" w:rsidRPr="008728A6" w14:paraId="4F161784" w14:textId="77777777" w:rsidTr="00CB7B4D">
        <w:trPr>
          <w:trHeight w:val="47"/>
        </w:trPr>
        <w:tc>
          <w:tcPr>
            <w:tcW w:w="594" w:type="dxa"/>
          </w:tcPr>
          <w:p w14:paraId="6CBAA011" w14:textId="5AEABDAF" w:rsidR="00CB7B4D" w:rsidRPr="008728A6" w:rsidRDefault="001F59EC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728A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582" w:type="dxa"/>
          </w:tcPr>
          <w:p w14:paraId="4E9B929A" w14:textId="3BF31D37" w:rsidR="00CB7B4D" w:rsidRPr="008728A6" w:rsidRDefault="00CB7B4D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7" w:type="dxa"/>
          </w:tcPr>
          <w:p w14:paraId="41540379" w14:textId="2EE9A44B" w:rsidR="00CB7B4D" w:rsidRPr="008728A6" w:rsidRDefault="00CB7B4D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7B4D" w:rsidRPr="008728A6" w14:paraId="13FEBB7F" w14:textId="77777777" w:rsidTr="00CB7B4D">
        <w:trPr>
          <w:trHeight w:val="47"/>
        </w:trPr>
        <w:tc>
          <w:tcPr>
            <w:tcW w:w="594" w:type="dxa"/>
          </w:tcPr>
          <w:p w14:paraId="1D9105A3" w14:textId="5E40A883" w:rsidR="00CB7B4D" w:rsidRPr="008728A6" w:rsidRDefault="001F59EC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8728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582" w:type="dxa"/>
          </w:tcPr>
          <w:p w14:paraId="5F91FA28" w14:textId="78B49F2B" w:rsidR="00CB7B4D" w:rsidRPr="008728A6" w:rsidRDefault="00CB7B4D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7" w:type="dxa"/>
          </w:tcPr>
          <w:p w14:paraId="7E36B65B" w14:textId="1B5D2055" w:rsidR="00CB7B4D" w:rsidRPr="008728A6" w:rsidRDefault="00CB7B4D" w:rsidP="007F15B2">
            <w:pPr>
              <w:pStyle w:val="Akapitzlist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67084A" w14:textId="77777777" w:rsidR="00CB7B4D" w:rsidRPr="008728A6" w:rsidRDefault="00CB7B4D" w:rsidP="00CB7B4D">
      <w:pPr>
        <w:spacing w:before="120" w:after="120"/>
        <w:ind w:right="282"/>
        <w:rPr>
          <w:rFonts w:ascii="Arial" w:hAnsi="Arial" w:cs="Arial"/>
          <w:lang w:eastAsia="x-none"/>
        </w:rPr>
      </w:pPr>
    </w:p>
    <w:p w14:paraId="7EB5BBF2" w14:textId="135792E0" w:rsidR="00CB7B4D" w:rsidRPr="008728A6" w:rsidRDefault="008728A6" w:rsidP="00975336">
      <w:pPr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proofErr w:type="spellStart"/>
      <w:r w:rsidRPr="008728A6">
        <w:rPr>
          <w:rFonts w:ascii="Arial" w:hAnsi="Arial" w:cs="Arial"/>
          <w:lang w:eastAsia="x-none"/>
        </w:rPr>
        <w:t>Grantobiorca</w:t>
      </w:r>
      <w:proofErr w:type="spellEnd"/>
      <w:r w:rsidR="00C92695" w:rsidRPr="008728A6">
        <w:rPr>
          <w:rFonts w:ascii="Arial" w:hAnsi="Arial" w:cs="Arial"/>
          <w:lang w:eastAsia="x-none"/>
        </w:rPr>
        <w:t xml:space="preserve"> zobowiązuje </w:t>
      </w:r>
      <w:r w:rsidR="00CB7B4D" w:rsidRPr="008728A6">
        <w:rPr>
          <w:rFonts w:ascii="Arial" w:hAnsi="Arial" w:cs="Arial"/>
          <w:lang w:eastAsia="x-none"/>
        </w:rPr>
        <w:t xml:space="preserve">się składać corocznie, </w:t>
      </w:r>
      <w:r w:rsidR="007E5D2E" w:rsidRPr="008728A6">
        <w:rPr>
          <w:rFonts w:ascii="Arial" w:hAnsi="Arial" w:cs="Arial"/>
          <w:lang w:eastAsia="x-none"/>
        </w:rPr>
        <w:t>nie później niż do 30 stycznia roku następującego po roku</w:t>
      </w:r>
      <w:r w:rsidR="00CB7B4D" w:rsidRPr="008728A6">
        <w:rPr>
          <w:rFonts w:ascii="Arial" w:hAnsi="Arial" w:cs="Arial"/>
          <w:lang w:eastAsia="x-none"/>
        </w:rPr>
        <w:t>, w którym amortyzowano monitorowaną infrastrukturę, sprawozdania z monitorowania sposobu wykorzystania infrastruktury na cele działalności gospodarczej o charakterze pomocniczym w oparciu o przyjęte wskaźniki oraz dokonać zwrotu środków w przypadku, gdy w danym roku objętym monitorowaniem wykorzystanie infrastruktury na cele gospodarcze przekroczy poziom 20% całkowitej rocznej wydajności infrastruktury</w:t>
      </w:r>
      <w:r w:rsidR="00BC4528" w:rsidRPr="008728A6">
        <w:rPr>
          <w:rFonts w:ascii="Arial" w:hAnsi="Arial" w:cs="Arial"/>
          <w:lang w:eastAsia="x-none"/>
        </w:rPr>
        <w:t>.</w:t>
      </w:r>
      <w:r w:rsidR="00325BFD" w:rsidRPr="008728A6">
        <w:rPr>
          <w:rFonts w:ascii="Arial" w:hAnsi="Arial" w:cs="Arial"/>
          <w:lang w:eastAsia="x-none"/>
        </w:rPr>
        <w:t xml:space="preserve"> </w:t>
      </w:r>
      <w:r w:rsidR="00325BFD" w:rsidRPr="008728A6">
        <w:rPr>
          <w:rFonts w:ascii="Arial" w:hAnsi="Arial" w:cs="Arial"/>
        </w:rPr>
        <w:t xml:space="preserve">Zasady zwrotu środków określa załącznik do Regulaminu wyboru projektów pn. „Mechanizm monitorowania i wycofania w przypadku wykorzystania infrastruktury na cele prowadzenia działalności gospodarczej o charakterze pomocniczym (dotyczy instalacji OZE nieobjętej pomocą publiczną/de </w:t>
      </w:r>
      <w:proofErr w:type="spellStart"/>
      <w:r w:rsidR="00325BFD" w:rsidRPr="008728A6">
        <w:rPr>
          <w:rFonts w:ascii="Arial" w:hAnsi="Arial" w:cs="Arial"/>
        </w:rPr>
        <w:t>minimis</w:t>
      </w:r>
      <w:proofErr w:type="spellEnd"/>
      <w:r w:rsidR="00325BFD" w:rsidRPr="008728A6">
        <w:rPr>
          <w:rFonts w:ascii="Arial" w:hAnsi="Arial" w:cs="Arial"/>
        </w:rPr>
        <w:t xml:space="preserve"> dla naborów dedykowanych OZE lub jeśli instalacja OZE jest elementem uzupełniającym)” i umowa o dofinansowanie projektu</w:t>
      </w:r>
      <w:r w:rsidR="00CB7B4D" w:rsidRPr="008728A6">
        <w:rPr>
          <w:rFonts w:ascii="Arial" w:hAnsi="Arial" w:cs="Arial"/>
        </w:rPr>
        <w:t>.</w:t>
      </w:r>
    </w:p>
    <w:p w14:paraId="6BB56DA8" w14:textId="2E46867D" w:rsidR="00C92695" w:rsidRPr="008728A6" w:rsidRDefault="00A66D68" w:rsidP="00975336">
      <w:pPr>
        <w:numPr>
          <w:ilvl w:val="0"/>
          <w:numId w:val="3"/>
        </w:numPr>
        <w:spacing w:before="120" w:after="0"/>
        <w:ind w:left="357" w:hanging="357"/>
        <w:jc w:val="both"/>
        <w:rPr>
          <w:rFonts w:ascii="Arial" w:hAnsi="Arial" w:cs="Arial"/>
        </w:rPr>
      </w:pPr>
      <w:r w:rsidRPr="008728A6">
        <w:rPr>
          <w:rFonts w:ascii="Arial" w:hAnsi="Arial" w:cs="Arial"/>
        </w:rPr>
        <w:t>Jestem świadomy/świadoma, że w przypadku konieczności zwrotu środków z tytułu</w:t>
      </w:r>
      <w:r w:rsidR="00C117AA" w:rsidRPr="008728A6">
        <w:rPr>
          <w:rFonts w:ascii="Arial" w:hAnsi="Arial" w:cs="Arial"/>
        </w:rPr>
        <w:t xml:space="preserve"> przekroczenia poziomu 20% całkowitej rocznej wydajności infrastruktury może zaistnieć również konieczność zwrotu środków w związku ze zmianą kwalifikowalności innych wydatków w projekcie.</w:t>
      </w:r>
    </w:p>
    <w:p w14:paraId="17F53AA4" w14:textId="77777777" w:rsidR="00C92695" w:rsidRPr="008728A6" w:rsidRDefault="00C92695" w:rsidP="00C92695">
      <w:pPr>
        <w:spacing w:before="120" w:after="120"/>
        <w:rPr>
          <w:rFonts w:ascii="Arial" w:eastAsia="Calibri" w:hAnsi="Arial" w:cs="Arial"/>
          <w:b/>
          <w:bCs/>
          <w:lang w:val="sk-SK" w:eastAsia="en-GB"/>
        </w:rPr>
      </w:pPr>
    </w:p>
    <w:p w14:paraId="712E8D53" w14:textId="6EA30A95" w:rsidR="00C92695" w:rsidRPr="008728A6" w:rsidRDefault="00C92695" w:rsidP="00C92695">
      <w:pPr>
        <w:spacing w:before="120" w:after="120"/>
        <w:rPr>
          <w:rFonts w:ascii="Arial" w:eastAsia="Calibri" w:hAnsi="Arial" w:cs="Arial"/>
          <w:b/>
          <w:bCs/>
          <w:lang w:val="sk-SK" w:eastAsia="en-GB"/>
        </w:rPr>
      </w:pPr>
      <w:r w:rsidRPr="008728A6">
        <w:rPr>
          <w:rFonts w:ascii="Arial" w:eastAsia="Calibri" w:hAnsi="Arial" w:cs="Arial"/>
          <w:b/>
          <w:bCs/>
          <w:lang w:val="sk-SK" w:eastAsia="en-GB"/>
        </w:rPr>
        <w:t>Osoba uprawniona do złożenia zobowiązania:</w:t>
      </w:r>
    </w:p>
    <w:p w14:paraId="2605D79B" w14:textId="5EC372C2" w:rsidR="00C92695" w:rsidRPr="008728A6" w:rsidRDefault="00C92695" w:rsidP="00C92695">
      <w:pPr>
        <w:spacing w:before="120" w:after="120"/>
        <w:rPr>
          <w:rFonts w:ascii="Arial" w:eastAsia="Calibri" w:hAnsi="Arial" w:cs="Arial"/>
          <w:lang w:eastAsia="en-GB"/>
        </w:rPr>
      </w:pPr>
      <w:r w:rsidRPr="008728A6">
        <w:rPr>
          <w:rFonts w:ascii="Arial" w:eastAsia="Calibri" w:hAnsi="Arial" w:cs="Arial"/>
          <w:lang w:val="sk-SK" w:eastAsia="en-GB"/>
        </w:rPr>
        <w:t>Imię i</w:t>
      </w:r>
      <w:r w:rsidR="00CE50E0" w:rsidRPr="008728A6">
        <w:rPr>
          <w:rFonts w:ascii="Arial" w:eastAsia="Calibri" w:hAnsi="Arial" w:cs="Arial"/>
          <w:lang w:val="sk-SK" w:eastAsia="en-GB"/>
        </w:rPr>
        <w:t> </w:t>
      </w:r>
      <w:r w:rsidRPr="008728A6">
        <w:rPr>
          <w:rFonts w:ascii="Arial" w:eastAsia="Calibri" w:hAnsi="Arial" w:cs="Arial"/>
          <w:lang w:val="sk-SK" w:eastAsia="en-GB"/>
        </w:rPr>
        <w:t>nazwisko</w:t>
      </w:r>
      <w:r w:rsidR="00CE50E0" w:rsidRPr="008728A6">
        <w:rPr>
          <w:rFonts w:ascii="Arial" w:eastAsia="Calibri" w:hAnsi="Arial" w:cs="Arial"/>
          <w:lang w:eastAsia="en-GB"/>
        </w:rPr>
        <w:t xml:space="preserve">  </w:t>
      </w:r>
    </w:p>
    <w:p w14:paraId="492D2794" w14:textId="77777777" w:rsidR="00C92695" w:rsidRPr="008728A6" w:rsidRDefault="00C92695" w:rsidP="00C92695">
      <w:pPr>
        <w:spacing w:before="120" w:after="120"/>
        <w:rPr>
          <w:rFonts w:ascii="Arial" w:eastAsia="Calibri" w:hAnsi="Arial" w:cs="Arial"/>
          <w:lang w:eastAsia="en-GB"/>
        </w:rPr>
      </w:pPr>
      <w:r w:rsidRPr="008728A6">
        <w:rPr>
          <w:rFonts w:ascii="Arial" w:eastAsia="Calibri" w:hAnsi="Arial" w:cs="Arial"/>
          <w:lang w:eastAsia="en-GB"/>
        </w:rPr>
        <w:t>Data……………………</w:t>
      </w:r>
    </w:p>
    <w:p w14:paraId="64544389" w14:textId="6D1A16B7" w:rsidR="00C92695" w:rsidRPr="008728A6" w:rsidRDefault="00157039" w:rsidP="00C92695">
      <w:pPr>
        <w:rPr>
          <w:rFonts w:ascii="Arial" w:hAnsi="Arial" w:cs="Arial"/>
          <w:b/>
          <w:bCs/>
        </w:rPr>
      </w:pPr>
      <w:r w:rsidRPr="008728A6">
        <w:rPr>
          <w:rFonts w:ascii="Arial" w:eastAsia="Calibri" w:hAnsi="Arial" w:cs="Arial"/>
          <w:lang w:eastAsia="en-GB"/>
        </w:rPr>
        <w:t>podpis</w:t>
      </w:r>
      <w:r w:rsidR="00C92695" w:rsidRPr="008728A6">
        <w:rPr>
          <w:rFonts w:ascii="Arial" w:eastAsia="Calibri" w:hAnsi="Arial" w:cs="Arial"/>
          <w:lang w:eastAsia="en-GB"/>
        </w:rPr>
        <w:t>……………………</w:t>
      </w:r>
    </w:p>
    <w:p w14:paraId="3E381B97" w14:textId="77777777" w:rsidR="00CB7B4D" w:rsidRDefault="00CB7B4D" w:rsidP="00CB7B4D">
      <w:pPr>
        <w:rPr>
          <w:rFonts w:ascii="Arial" w:hAnsi="Arial" w:cs="Arial"/>
          <w:sz w:val="24"/>
          <w:szCs w:val="24"/>
        </w:rPr>
      </w:pPr>
    </w:p>
    <w:p w14:paraId="2D0F67B2" w14:textId="77777777" w:rsidR="00C92695" w:rsidRDefault="00C92695" w:rsidP="00CB7B4D">
      <w:pPr>
        <w:rPr>
          <w:rFonts w:ascii="Arial" w:hAnsi="Arial" w:cs="Arial"/>
          <w:sz w:val="24"/>
          <w:szCs w:val="24"/>
        </w:rPr>
      </w:pPr>
    </w:p>
    <w:p w14:paraId="2FA353DF" w14:textId="77777777" w:rsidR="00C92695" w:rsidRDefault="00C92695" w:rsidP="00CB7B4D">
      <w:pPr>
        <w:rPr>
          <w:rFonts w:ascii="Arial" w:hAnsi="Arial" w:cs="Arial"/>
          <w:sz w:val="24"/>
          <w:szCs w:val="24"/>
        </w:rPr>
      </w:pPr>
    </w:p>
    <w:p w14:paraId="0D3862E5" w14:textId="33FD6947" w:rsidR="00CB7B4D" w:rsidRPr="0059761E" w:rsidRDefault="00CB7B4D" w:rsidP="00CB7B4D">
      <w:pPr>
        <w:ind w:left="4962" w:right="1535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CB7B4D" w:rsidRPr="0059761E" w:rsidSect="00FA7BD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C656" w14:textId="77777777" w:rsidR="000E6BD6" w:rsidRDefault="000E6BD6" w:rsidP="00D25944">
      <w:pPr>
        <w:spacing w:after="0" w:line="240" w:lineRule="auto"/>
      </w:pPr>
      <w:r>
        <w:separator/>
      </w:r>
    </w:p>
  </w:endnote>
  <w:endnote w:type="continuationSeparator" w:id="0">
    <w:p w14:paraId="3C672814" w14:textId="77777777" w:rsidR="000E6BD6" w:rsidRDefault="000E6BD6" w:rsidP="00D2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5DA5" w14:textId="0838EEF9" w:rsidR="001568EF" w:rsidRPr="002B25F8" w:rsidRDefault="001568EF" w:rsidP="006F59C5">
    <w:pPr>
      <w:pStyle w:val="Stopka"/>
      <w:jc w:val="right"/>
      <w:rPr>
        <w:sz w:val="18"/>
        <w:szCs w:val="18"/>
      </w:rPr>
    </w:pPr>
    <w:r w:rsidRPr="002B25F8">
      <w:rPr>
        <w:sz w:val="18"/>
        <w:szCs w:val="18"/>
      </w:rPr>
      <w:t>v.1</w:t>
    </w:r>
    <w:r w:rsidR="006F59C5">
      <w:rPr>
        <w:sz w:val="18"/>
        <w:szCs w:val="18"/>
      </w:rPr>
      <w:t xml:space="preserve">                                                                                        </w:t>
    </w:r>
    <w:r w:rsidR="006F59C5" w:rsidRPr="006F59C5">
      <w:rPr>
        <w:sz w:val="18"/>
        <w:szCs w:val="18"/>
      </w:rPr>
      <w:t xml:space="preserve">Strona </w:t>
    </w:r>
    <w:r w:rsidR="006F59C5" w:rsidRPr="006F59C5">
      <w:rPr>
        <w:b/>
        <w:bCs/>
        <w:sz w:val="18"/>
        <w:szCs w:val="18"/>
      </w:rPr>
      <w:fldChar w:fldCharType="begin"/>
    </w:r>
    <w:r w:rsidR="006F59C5" w:rsidRPr="006F59C5">
      <w:rPr>
        <w:b/>
        <w:bCs/>
        <w:sz w:val="18"/>
        <w:szCs w:val="18"/>
      </w:rPr>
      <w:instrText>PAGE  \* Arabic  \* MERGEFORMAT</w:instrText>
    </w:r>
    <w:r w:rsidR="006F59C5" w:rsidRPr="006F59C5">
      <w:rPr>
        <w:b/>
        <w:bCs/>
        <w:sz w:val="18"/>
        <w:szCs w:val="18"/>
      </w:rPr>
      <w:fldChar w:fldCharType="separate"/>
    </w:r>
    <w:r w:rsidR="006F59C5" w:rsidRPr="006F59C5">
      <w:rPr>
        <w:b/>
        <w:bCs/>
        <w:sz w:val="18"/>
        <w:szCs w:val="18"/>
      </w:rPr>
      <w:t>1</w:t>
    </w:r>
    <w:r w:rsidR="006F59C5" w:rsidRPr="006F59C5">
      <w:rPr>
        <w:b/>
        <w:bCs/>
        <w:sz w:val="18"/>
        <w:szCs w:val="18"/>
      </w:rPr>
      <w:fldChar w:fldCharType="end"/>
    </w:r>
    <w:r w:rsidR="006F59C5" w:rsidRPr="006F59C5">
      <w:rPr>
        <w:sz w:val="18"/>
        <w:szCs w:val="18"/>
      </w:rPr>
      <w:t xml:space="preserve"> z </w:t>
    </w:r>
    <w:r w:rsidR="006F59C5" w:rsidRPr="006F59C5">
      <w:rPr>
        <w:b/>
        <w:bCs/>
        <w:sz w:val="18"/>
        <w:szCs w:val="18"/>
      </w:rPr>
      <w:fldChar w:fldCharType="begin"/>
    </w:r>
    <w:r w:rsidR="006F59C5" w:rsidRPr="006F59C5">
      <w:rPr>
        <w:b/>
        <w:bCs/>
        <w:sz w:val="18"/>
        <w:szCs w:val="18"/>
      </w:rPr>
      <w:instrText>NUMPAGES  \* Arabic  \* MERGEFORMAT</w:instrText>
    </w:r>
    <w:r w:rsidR="006F59C5" w:rsidRPr="006F59C5">
      <w:rPr>
        <w:b/>
        <w:bCs/>
        <w:sz w:val="18"/>
        <w:szCs w:val="18"/>
      </w:rPr>
      <w:fldChar w:fldCharType="separate"/>
    </w:r>
    <w:r w:rsidR="006F59C5" w:rsidRPr="006F59C5">
      <w:rPr>
        <w:b/>
        <w:bCs/>
        <w:sz w:val="18"/>
        <w:szCs w:val="18"/>
      </w:rPr>
      <w:t>2</w:t>
    </w:r>
    <w:r w:rsidR="006F59C5" w:rsidRPr="006F59C5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4482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231EE2" w14:textId="1AC6C618" w:rsidR="00A66D68" w:rsidRDefault="00A66D6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BCE90F" w14:textId="79B7396E" w:rsidR="006F59C5" w:rsidRPr="006F59C5" w:rsidRDefault="006F59C5" w:rsidP="006F59C5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7DCE" w14:textId="77777777" w:rsidR="000E6BD6" w:rsidRDefault="000E6BD6" w:rsidP="00D25944">
      <w:pPr>
        <w:spacing w:after="0" w:line="240" w:lineRule="auto"/>
      </w:pPr>
      <w:r>
        <w:separator/>
      </w:r>
    </w:p>
  </w:footnote>
  <w:footnote w:type="continuationSeparator" w:id="0">
    <w:p w14:paraId="60AB6AB5" w14:textId="77777777" w:rsidR="000E6BD6" w:rsidRDefault="000E6BD6" w:rsidP="00D25944">
      <w:pPr>
        <w:spacing w:after="0" w:line="240" w:lineRule="auto"/>
      </w:pPr>
      <w:r>
        <w:continuationSeparator/>
      </w:r>
    </w:p>
  </w:footnote>
  <w:footnote w:id="1">
    <w:p w14:paraId="4F1F0B28" w14:textId="6A81CF51" w:rsidR="00CB7B4D" w:rsidRPr="00CE50E0" w:rsidRDefault="00CB7B4D" w:rsidP="00CB7B4D">
      <w:pPr>
        <w:pStyle w:val="Tekstprzypisudolnego"/>
        <w:spacing w:before="120" w:after="120"/>
        <w:contextualSpacing/>
        <w:rPr>
          <w:rFonts w:cstheme="minorHAnsi"/>
          <w:sz w:val="16"/>
          <w:szCs w:val="12"/>
        </w:rPr>
      </w:pPr>
      <w:r w:rsidRPr="00CE50E0">
        <w:rPr>
          <w:rStyle w:val="Odwoanieprzypisudolnego"/>
          <w:rFonts w:cstheme="minorHAnsi"/>
          <w:sz w:val="16"/>
          <w:szCs w:val="12"/>
        </w:rPr>
        <w:footnoteRef/>
      </w:r>
      <w:r w:rsidRPr="00CE50E0">
        <w:rPr>
          <w:rFonts w:cstheme="minorHAnsi"/>
          <w:sz w:val="16"/>
          <w:szCs w:val="12"/>
        </w:rPr>
        <w:t xml:space="preserve"> Jednocześnie, </w:t>
      </w:r>
      <w:r w:rsidRPr="00CE50E0">
        <w:rPr>
          <w:rFonts w:cstheme="minorHAnsi"/>
          <w:bCs/>
          <w:sz w:val="16"/>
          <w:szCs w:val="12"/>
        </w:rPr>
        <w:t xml:space="preserve">jeżeli na daną infrastrukturę Beneficjent otrzymuje wsparcie publiczne również z innych źródeł, należy brać pod uwagę wszystkie źródła finansowania </w:t>
      </w:r>
      <w:r w:rsidRPr="00CE50E0">
        <w:rPr>
          <w:rFonts w:cstheme="minorHAnsi"/>
          <w:sz w:val="16"/>
          <w:szCs w:val="12"/>
        </w:rPr>
        <w:t xml:space="preserve">i zasady, na jakich wsparcie to zostało udzielone </w:t>
      </w:r>
      <w:r w:rsidRPr="00CE50E0">
        <w:rPr>
          <w:rFonts w:cstheme="minorHAnsi"/>
          <w:bCs/>
          <w:sz w:val="16"/>
          <w:szCs w:val="12"/>
        </w:rPr>
        <w:t>oraz włączyć je w zakres monitorowania i uwzględnić w składanych sprawozdaniach</w:t>
      </w:r>
      <w:r w:rsidRPr="00CE50E0">
        <w:rPr>
          <w:rFonts w:cstheme="minorHAnsi"/>
          <w:sz w:val="16"/>
          <w:szCs w:val="12"/>
        </w:rPr>
        <w:t>.</w:t>
      </w:r>
    </w:p>
  </w:footnote>
  <w:footnote w:id="2">
    <w:p w14:paraId="74FBD8B7" w14:textId="77777777" w:rsidR="00CB7B4D" w:rsidRPr="00CE50E0" w:rsidRDefault="00CB7B4D" w:rsidP="00CB7B4D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 w:val="16"/>
          <w:szCs w:val="12"/>
        </w:rPr>
      </w:pPr>
      <w:r w:rsidRPr="00CE50E0">
        <w:rPr>
          <w:rStyle w:val="Odwoanieprzypisudolnego"/>
          <w:rFonts w:asciiTheme="minorHAnsi" w:hAnsiTheme="minorHAnsi" w:cstheme="minorHAnsi"/>
          <w:sz w:val="16"/>
          <w:szCs w:val="12"/>
        </w:rPr>
        <w:footnoteRef/>
      </w:r>
      <w:r w:rsidRPr="00CE50E0">
        <w:rPr>
          <w:rFonts w:asciiTheme="minorHAnsi" w:hAnsiTheme="minorHAnsi" w:cstheme="minorHAnsi"/>
          <w:sz w:val="16"/>
          <w:szCs w:val="12"/>
        </w:rPr>
        <w:t xml:space="preserve"> Na gruncie polskiego prawa możliwe są dwie metody dokonywania amortyzacji:</w:t>
      </w:r>
    </w:p>
    <w:p w14:paraId="7CB5E6DA" w14:textId="77777777" w:rsidR="00CB7B4D" w:rsidRPr="00CE50E0" w:rsidRDefault="00CB7B4D" w:rsidP="00CB7B4D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 w:val="16"/>
          <w:szCs w:val="12"/>
        </w:rPr>
      </w:pPr>
      <w:r w:rsidRPr="00CE50E0">
        <w:rPr>
          <w:rFonts w:asciiTheme="minorHAnsi" w:hAnsiTheme="minorHAnsi" w:cstheme="minorHAnsi"/>
          <w:sz w:val="16"/>
          <w:szCs w:val="12"/>
        </w:rPr>
        <w:t>a. amortyzacja na podstawie ustawy o rachunkowości:</w:t>
      </w:r>
    </w:p>
    <w:p w14:paraId="69663B7E" w14:textId="77777777" w:rsidR="00CB7B4D" w:rsidRPr="00CE50E0" w:rsidRDefault="00CB7B4D" w:rsidP="00CB7B4D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 w:val="16"/>
          <w:szCs w:val="12"/>
        </w:rPr>
      </w:pPr>
      <w:r w:rsidRPr="00CE50E0">
        <w:rPr>
          <w:rFonts w:asciiTheme="minorHAnsi" w:hAnsiTheme="minorHAnsi" w:cstheme="minorHAnsi"/>
          <w:sz w:val="16"/>
          <w:szCs w:val="12"/>
        </w:rPr>
        <w:t>Przy ustalaniu okresu amortyzacji i rocznej stawki amortyzacyjnej uwzględnia się okres ekonomicznej użyteczności środka trwałego, to jest czas, w którym według oczekiwań środek trwały będzie użytkowany przez jednostkę i z tego tytułu będzie ona osiągała korzyści ekonomiczne.</w:t>
      </w:r>
    </w:p>
    <w:p w14:paraId="12054C2F" w14:textId="77777777" w:rsidR="00CB7B4D" w:rsidRPr="00CE50E0" w:rsidRDefault="00CB7B4D" w:rsidP="00CB7B4D">
      <w:pPr>
        <w:pStyle w:val="Tekstprzypisukocowego"/>
        <w:spacing w:before="120" w:after="120" w:line="276" w:lineRule="auto"/>
        <w:ind w:left="142"/>
        <w:contextualSpacing/>
        <w:rPr>
          <w:rFonts w:asciiTheme="minorHAnsi" w:hAnsiTheme="minorHAnsi" w:cstheme="minorHAnsi"/>
          <w:sz w:val="16"/>
          <w:szCs w:val="12"/>
        </w:rPr>
      </w:pPr>
      <w:r w:rsidRPr="00CE50E0">
        <w:rPr>
          <w:rFonts w:asciiTheme="minorHAnsi" w:hAnsiTheme="minorHAnsi" w:cstheme="minorHAnsi"/>
          <w:sz w:val="16"/>
          <w:szCs w:val="12"/>
        </w:rPr>
        <w:t>b. amortyzacja na podstawie ustawy o podatku dochodowym od osób fizycznych i prawnych:</w:t>
      </w:r>
    </w:p>
    <w:p w14:paraId="704860C4" w14:textId="77777777" w:rsidR="00CB7B4D" w:rsidRPr="00CE50E0" w:rsidRDefault="00CB7B4D" w:rsidP="00CB7B4D">
      <w:pPr>
        <w:pStyle w:val="Tekstprzypisukocowego"/>
        <w:spacing w:before="120" w:after="120" w:line="276" w:lineRule="auto"/>
        <w:ind w:left="426"/>
        <w:contextualSpacing/>
        <w:rPr>
          <w:rFonts w:asciiTheme="minorHAnsi" w:hAnsiTheme="minorHAnsi" w:cstheme="minorHAnsi"/>
          <w:sz w:val="16"/>
          <w:szCs w:val="12"/>
        </w:rPr>
      </w:pPr>
      <w:r w:rsidRPr="00CE50E0">
        <w:rPr>
          <w:rFonts w:asciiTheme="minorHAnsi" w:hAnsiTheme="minorHAnsi" w:cstheme="minorHAnsi"/>
          <w:sz w:val="16"/>
          <w:szCs w:val="12"/>
        </w:rPr>
        <w:t>Odpisów amortyzacyjnych dokonuje się na podstawie planu amortyzacji sporządzonego z zastosowaniem stawek przewidzianych w wykazach oraz określonych metod dla poszczególnych składników aktywów, dla zakupów powyżej 10 000,00 zł (amortyzacja liniowa, degresywna, stawki indywidualne).</w:t>
      </w:r>
    </w:p>
    <w:p w14:paraId="23B53A2A" w14:textId="77777777" w:rsidR="00CB7B4D" w:rsidRPr="00CE50E0" w:rsidRDefault="00CB7B4D" w:rsidP="00CB7B4D">
      <w:pPr>
        <w:pStyle w:val="Tekstprzypisukocowego"/>
        <w:spacing w:before="120" w:after="120" w:line="276" w:lineRule="auto"/>
        <w:contextualSpacing/>
        <w:rPr>
          <w:rFonts w:asciiTheme="minorHAnsi" w:hAnsiTheme="minorHAnsi" w:cstheme="minorHAnsi"/>
          <w:sz w:val="12"/>
          <w:szCs w:val="12"/>
        </w:rPr>
      </w:pPr>
      <w:r w:rsidRPr="00CE50E0">
        <w:rPr>
          <w:rFonts w:asciiTheme="minorHAnsi" w:hAnsiTheme="minorHAnsi" w:cstheme="minorHAnsi"/>
          <w:sz w:val="16"/>
          <w:szCs w:val="12"/>
        </w:rPr>
        <w:t>Należy mieć na uwadze, że konsekwencją powyższego jest konieczność stosowania wybranej metody w zakresie całego mechanizmu monitorowania i wycofania.</w:t>
      </w:r>
    </w:p>
  </w:footnote>
  <w:footnote w:id="3">
    <w:p w14:paraId="7A851394" w14:textId="77777777" w:rsidR="00CB7B4D" w:rsidRPr="00CE50E0" w:rsidRDefault="00CB7B4D" w:rsidP="00CB7B4D">
      <w:pPr>
        <w:pStyle w:val="Tekstprzypisukocowego"/>
        <w:spacing w:line="276" w:lineRule="auto"/>
        <w:rPr>
          <w:rFonts w:asciiTheme="minorHAnsi" w:hAnsiTheme="minorHAnsi" w:cstheme="minorHAnsi"/>
          <w:sz w:val="12"/>
          <w:szCs w:val="12"/>
        </w:rPr>
      </w:pPr>
      <w:r w:rsidRPr="00CE50E0">
        <w:rPr>
          <w:rStyle w:val="Odwoanieprzypisudolnego"/>
          <w:rFonts w:asciiTheme="minorHAnsi" w:hAnsiTheme="minorHAnsi" w:cstheme="minorHAnsi"/>
          <w:sz w:val="16"/>
          <w:szCs w:val="12"/>
        </w:rPr>
        <w:footnoteRef/>
      </w:r>
      <w:r w:rsidRPr="00CE50E0">
        <w:rPr>
          <w:rFonts w:asciiTheme="minorHAnsi" w:hAnsiTheme="minorHAnsi" w:cstheme="minorHAnsi"/>
          <w:sz w:val="16"/>
          <w:szCs w:val="12"/>
        </w:rPr>
        <w:t xml:space="preserve"> Monitorowanie sposobu wykorzystania infrastruktury odbywa się co najmniej przez cały okres jej amortyzacji. Oznacza to, że mechanizm monitorowania i wycofania jest niezależny od okresu trwałości Projektu. Nie jest możliwe przyjęcie średniego okresu amortyzacji dla wszystkich składników infrastruktury i stosowanie mechanizmu w tym uśrednionym okresie. Beneficjent ma natomiast możliwość przyjęcia dla wszystkich składników danej infrastruktury jednolitego okresu równego okresowi amortyzacji tego składnika infrastruktury, który amortyzuje się najdłużej.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884F" w14:textId="79D4A742" w:rsidR="006F59C5" w:rsidRDefault="006F59C5">
    <w:pPr>
      <w:pStyle w:val="Nagwek"/>
    </w:pPr>
    <w:r w:rsidRPr="006F59C5">
      <w:rPr>
        <w:rFonts w:ascii="Calibri" w:eastAsia="Calibri" w:hAnsi="Calibri" w:cs="Times New Roman"/>
        <w:noProof/>
      </w:rPr>
      <w:drawing>
        <wp:inline distT="0" distB="0" distL="0" distR="0" wp14:anchorId="6E21777B" wp14:editId="558FB291">
          <wp:extent cx="5760720" cy="793115"/>
          <wp:effectExtent l="0" t="0" r="0" b="6985"/>
          <wp:doc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C38B0"/>
    <w:multiLevelType w:val="hybridMultilevel"/>
    <w:tmpl w:val="C3727F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CF1B4A"/>
    <w:multiLevelType w:val="hybridMultilevel"/>
    <w:tmpl w:val="CB8650EE"/>
    <w:lvl w:ilvl="0" w:tplc="D2823B7C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F2877"/>
    <w:multiLevelType w:val="hybridMultilevel"/>
    <w:tmpl w:val="BB3429AC"/>
    <w:lvl w:ilvl="0" w:tplc="04150015">
      <w:start w:val="1"/>
      <w:numFmt w:val="upperLetter"/>
      <w:lvlText w:val="%1."/>
      <w:lvlJc w:val="left"/>
      <w:pPr>
        <w:ind w:left="238" w:hanging="360"/>
      </w:pPr>
    </w:lvl>
    <w:lvl w:ilvl="1" w:tplc="611E21C8">
      <w:start w:val="1"/>
      <w:numFmt w:val="decimal"/>
      <w:lvlText w:val="B.%2"/>
      <w:lvlJc w:val="left"/>
      <w:pPr>
        <w:ind w:left="95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678" w:hanging="180"/>
      </w:pPr>
    </w:lvl>
    <w:lvl w:ilvl="3" w:tplc="0415000F" w:tentative="1">
      <w:start w:val="1"/>
      <w:numFmt w:val="decimal"/>
      <w:lvlText w:val="%4."/>
      <w:lvlJc w:val="left"/>
      <w:pPr>
        <w:ind w:left="2398" w:hanging="360"/>
      </w:pPr>
    </w:lvl>
    <w:lvl w:ilvl="4" w:tplc="04150019" w:tentative="1">
      <w:start w:val="1"/>
      <w:numFmt w:val="lowerLetter"/>
      <w:lvlText w:val="%5."/>
      <w:lvlJc w:val="left"/>
      <w:pPr>
        <w:ind w:left="3118" w:hanging="360"/>
      </w:pPr>
    </w:lvl>
    <w:lvl w:ilvl="5" w:tplc="0415001B" w:tentative="1">
      <w:start w:val="1"/>
      <w:numFmt w:val="lowerRoman"/>
      <w:lvlText w:val="%6."/>
      <w:lvlJc w:val="right"/>
      <w:pPr>
        <w:ind w:left="3838" w:hanging="180"/>
      </w:pPr>
    </w:lvl>
    <w:lvl w:ilvl="6" w:tplc="0415000F" w:tentative="1">
      <w:start w:val="1"/>
      <w:numFmt w:val="decimal"/>
      <w:lvlText w:val="%7."/>
      <w:lvlJc w:val="left"/>
      <w:pPr>
        <w:ind w:left="4558" w:hanging="360"/>
      </w:pPr>
    </w:lvl>
    <w:lvl w:ilvl="7" w:tplc="04150019" w:tentative="1">
      <w:start w:val="1"/>
      <w:numFmt w:val="lowerLetter"/>
      <w:lvlText w:val="%8."/>
      <w:lvlJc w:val="left"/>
      <w:pPr>
        <w:ind w:left="5278" w:hanging="360"/>
      </w:pPr>
    </w:lvl>
    <w:lvl w:ilvl="8" w:tplc="0415001B" w:tentative="1">
      <w:start w:val="1"/>
      <w:numFmt w:val="lowerRoman"/>
      <w:lvlText w:val="%9."/>
      <w:lvlJc w:val="right"/>
      <w:pPr>
        <w:ind w:left="5998" w:hanging="180"/>
      </w:pPr>
    </w:lvl>
  </w:abstractNum>
  <w:num w:numId="1" w16cid:durableId="926306282">
    <w:abstractNumId w:val="1"/>
  </w:num>
  <w:num w:numId="2" w16cid:durableId="207881216">
    <w:abstractNumId w:val="2"/>
  </w:num>
  <w:num w:numId="3" w16cid:durableId="144607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25"/>
    <w:rsid w:val="00012B9C"/>
    <w:rsid w:val="00024E38"/>
    <w:rsid w:val="00027283"/>
    <w:rsid w:val="0003054A"/>
    <w:rsid w:val="00066118"/>
    <w:rsid w:val="00072DED"/>
    <w:rsid w:val="00091030"/>
    <w:rsid w:val="00096001"/>
    <w:rsid w:val="000B627D"/>
    <w:rsid w:val="000C5A54"/>
    <w:rsid w:val="000D222D"/>
    <w:rsid w:val="000E2FB9"/>
    <w:rsid w:val="000E6BD6"/>
    <w:rsid w:val="000F4874"/>
    <w:rsid w:val="000F585C"/>
    <w:rsid w:val="000F6629"/>
    <w:rsid w:val="001002E3"/>
    <w:rsid w:val="00101D6D"/>
    <w:rsid w:val="00111BEC"/>
    <w:rsid w:val="00114361"/>
    <w:rsid w:val="00141BAF"/>
    <w:rsid w:val="001568EF"/>
    <w:rsid w:val="00157039"/>
    <w:rsid w:val="001801D7"/>
    <w:rsid w:val="001E2380"/>
    <w:rsid w:val="001E2C71"/>
    <w:rsid w:val="001F59EC"/>
    <w:rsid w:val="0020564E"/>
    <w:rsid w:val="00207695"/>
    <w:rsid w:val="00227FB9"/>
    <w:rsid w:val="00241FC7"/>
    <w:rsid w:val="00273477"/>
    <w:rsid w:val="00276A4A"/>
    <w:rsid w:val="0029730B"/>
    <w:rsid w:val="002A7F62"/>
    <w:rsid w:val="002A7FF4"/>
    <w:rsid w:val="002B25F8"/>
    <w:rsid w:val="002D01E9"/>
    <w:rsid w:val="002D2BC2"/>
    <w:rsid w:val="00312DBC"/>
    <w:rsid w:val="00325BFD"/>
    <w:rsid w:val="00341217"/>
    <w:rsid w:val="00342EF0"/>
    <w:rsid w:val="0035752A"/>
    <w:rsid w:val="0038057F"/>
    <w:rsid w:val="003B1CC9"/>
    <w:rsid w:val="003B21C1"/>
    <w:rsid w:val="003C1BFA"/>
    <w:rsid w:val="003E18F7"/>
    <w:rsid w:val="003F5894"/>
    <w:rsid w:val="003F7598"/>
    <w:rsid w:val="00412E25"/>
    <w:rsid w:val="00417E15"/>
    <w:rsid w:val="00424025"/>
    <w:rsid w:val="00427188"/>
    <w:rsid w:val="00446B45"/>
    <w:rsid w:val="00447751"/>
    <w:rsid w:val="00460523"/>
    <w:rsid w:val="004701C2"/>
    <w:rsid w:val="00473637"/>
    <w:rsid w:val="00482869"/>
    <w:rsid w:val="00490D2C"/>
    <w:rsid w:val="004A5586"/>
    <w:rsid w:val="004B5506"/>
    <w:rsid w:val="004C1CF2"/>
    <w:rsid w:val="004C2EF2"/>
    <w:rsid w:val="004D3658"/>
    <w:rsid w:val="004D4A3B"/>
    <w:rsid w:val="00525EB8"/>
    <w:rsid w:val="00527DAC"/>
    <w:rsid w:val="005546E9"/>
    <w:rsid w:val="00577143"/>
    <w:rsid w:val="00586D58"/>
    <w:rsid w:val="00590B56"/>
    <w:rsid w:val="0059761E"/>
    <w:rsid w:val="005B3062"/>
    <w:rsid w:val="005C6B74"/>
    <w:rsid w:val="005D094C"/>
    <w:rsid w:val="005F7917"/>
    <w:rsid w:val="006014E2"/>
    <w:rsid w:val="00602208"/>
    <w:rsid w:val="006023FE"/>
    <w:rsid w:val="006152A7"/>
    <w:rsid w:val="006267A7"/>
    <w:rsid w:val="00631DA6"/>
    <w:rsid w:val="00647CE0"/>
    <w:rsid w:val="00652CC9"/>
    <w:rsid w:val="00675D1C"/>
    <w:rsid w:val="00677B85"/>
    <w:rsid w:val="00681FDA"/>
    <w:rsid w:val="006847AE"/>
    <w:rsid w:val="0068578C"/>
    <w:rsid w:val="00694D9E"/>
    <w:rsid w:val="006B03A6"/>
    <w:rsid w:val="006B0AF1"/>
    <w:rsid w:val="006B1A28"/>
    <w:rsid w:val="006C451D"/>
    <w:rsid w:val="006F4EED"/>
    <w:rsid w:val="006F4F90"/>
    <w:rsid w:val="006F59C5"/>
    <w:rsid w:val="006F7019"/>
    <w:rsid w:val="00701B4F"/>
    <w:rsid w:val="00706E5C"/>
    <w:rsid w:val="00711689"/>
    <w:rsid w:val="00714ACB"/>
    <w:rsid w:val="00731FB1"/>
    <w:rsid w:val="00736FD3"/>
    <w:rsid w:val="00747184"/>
    <w:rsid w:val="007652A8"/>
    <w:rsid w:val="00774D49"/>
    <w:rsid w:val="00786050"/>
    <w:rsid w:val="007863FA"/>
    <w:rsid w:val="007905F7"/>
    <w:rsid w:val="0079795E"/>
    <w:rsid w:val="007A5F57"/>
    <w:rsid w:val="007A7BF5"/>
    <w:rsid w:val="007B498F"/>
    <w:rsid w:val="007D56D2"/>
    <w:rsid w:val="007E5D2E"/>
    <w:rsid w:val="00801B25"/>
    <w:rsid w:val="00804878"/>
    <w:rsid w:val="0080742A"/>
    <w:rsid w:val="00817659"/>
    <w:rsid w:val="00835318"/>
    <w:rsid w:val="0084638D"/>
    <w:rsid w:val="008525FC"/>
    <w:rsid w:val="008728A6"/>
    <w:rsid w:val="008737CB"/>
    <w:rsid w:val="0087481E"/>
    <w:rsid w:val="0087535D"/>
    <w:rsid w:val="0087662F"/>
    <w:rsid w:val="00890FFC"/>
    <w:rsid w:val="008B582D"/>
    <w:rsid w:val="008C5279"/>
    <w:rsid w:val="008E3E24"/>
    <w:rsid w:val="00905722"/>
    <w:rsid w:val="0092018E"/>
    <w:rsid w:val="00932BB7"/>
    <w:rsid w:val="00961A4D"/>
    <w:rsid w:val="00974DBF"/>
    <w:rsid w:val="00975336"/>
    <w:rsid w:val="00975E93"/>
    <w:rsid w:val="00983931"/>
    <w:rsid w:val="0098495C"/>
    <w:rsid w:val="00987798"/>
    <w:rsid w:val="009A0D47"/>
    <w:rsid w:val="009B4495"/>
    <w:rsid w:val="009C26FA"/>
    <w:rsid w:val="009E73AF"/>
    <w:rsid w:val="009F04F9"/>
    <w:rsid w:val="009F5166"/>
    <w:rsid w:val="009F6A12"/>
    <w:rsid w:val="00A027D7"/>
    <w:rsid w:val="00A26FA7"/>
    <w:rsid w:val="00A4010E"/>
    <w:rsid w:val="00A434B9"/>
    <w:rsid w:val="00A60CC8"/>
    <w:rsid w:val="00A66D68"/>
    <w:rsid w:val="00A749CB"/>
    <w:rsid w:val="00A77C3F"/>
    <w:rsid w:val="00AA53BC"/>
    <w:rsid w:val="00AC4FC2"/>
    <w:rsid w:val="00AE67BD"/>
    <w:rsid w:val="00B02118"/>
    <w:rsid w:val="00B02C8B"/>
    <w:rsid w:val="00B26B50"/>
    <w:rsid w:val="00B26EB1"/>
    <w:rsid w:val="00B913AC"/>
    <w:rsid w:val="00BA4253"/>
    <w:rsid w:val="00BA6025"/>
    <w:rsid w:val="00BC2DAB"/>
    <w:rsid w:val="00BC4528"/>
    <w:rsid w:val="00BE583C"/>
    <w:rsid w:val="00BE6838"/>
    <w:rsid w:val="00BE6DE2"/>
    <w:rsid w:val="00C01736"/>
    <w:rsid w:val="00C117AA"/>
    <w:rsid w:val="00C1536B"/>
    <w:rsid w:val="00C23D2B"/>
    <w:rsid w:val="00C35228"/>
    <w:rsid w:val="00C52150"/>
    <w:rsid w:val="00C52920"/>
    <w:rsid w:val="00C529C2"/>
    <w:rsid w:val="00C57093"/>
    <w:rsid w:val="00C61B46"/>
    <w:rsid w:val="00C86A91"/>
    <w:rsid w:val="00C878E9"/>
    <w:rsid w:val="00C92695"/>
    <w:rsid w:val="00CA128E"/>
    <w:rsid w:val="00CB4026"/>
    <w:rsid w:val="00CB7B4D"/>
    <w:rsid w:val="00CC67F9"/>
    <w:rsid w:val="00CE50E0"/>
    <w:rsid w:val="00D1114D"/>
    <w:rsid w:val="00D12263"/>
    <w:rsid w:val="00D25944"/>
    <w:rsid w:val="00D25A3B"/>
    <w:rsid w:val="00D44C0B"/>
    <w:rsid w:val="00D568D6"/>
    <w:rsid w:val="00D8071C"/>
    <w:rsid w:val="00DA5FAB"/>
    <w:rsid w:val="00DC5D41"/>
    <w:rsid w:val="00DC6720"/>
    <w:rsid w:val="00DC7C3B"/>
    <w:rsid w:val="00DD0B2A"/>
    <w:rsid w:val="00DD1263"/>
    <w:rsid w:val="00DD40D5"/>
    <w:rsid w:val="00DD4B49"/>
    <w:rsid w:val="00E00457"/>
    <w:rsid w:val="00E10A32"/>
    <w:rsid w:val="00E17EE1"/>
    <w:rsid w:val="00E20CBB"/>
    <w:rsid w:val="00E26B48"/>
    <w:rsid w:val="00E32CE2"/>
    <w:rsid w:val="00E37D8D"/>
    <w:rsid w:val="00E4583C"/>
    <w:rsid w:val="00E51E2A"/>
    <w:rsid w:val="00E615D4"/>
    <w:rsid w:val="00E65827"/>
    <w:rsid w:val="00E9063A"/>
    <w:rsid w:val="00E9627F"/>
    <w:rsid w:val="00EA2931"/>
    <w:rsid w:val="00EB1419"/>
    <w:rsid w:val="00EC17CB"/>
    <w:rsid w:val="00ED441C"/>
    <w:rsid w:val="00EF7ECE"/>
    <w:rsid w:val="00F026F1"/>
    <w:rsid w:val="00F16186"/>
    <w:rsid w:val="00F17D43"/>
    <w:rsid w:val="00F25B5B"/>
    <w:rsid w:val="00F326D2"/>
    <w:rsid w:val="00F46558"/>
    <w:rsid w:val="00F47E77"/>
    <w:rsid w:val="00F56583"/>
    <w:rsid w:val="00F63921"/>
    <w:rsid w:val="00F737E8"/>
    <w:rsid w:val="00F835E7"/>
    <w:rsid w:val="00FA062E"/>
    <w:rsid w:val="00FA26F9"/>
    <w:rsid w:val="00FA7BDD"/>
    <w:rsid w:val="00FB1990"/>
    <w:rsid w:val="00FC1A7F"/>
    <w:rsid w:val="00FC4BCC"/>
    <w:rsid w:val="00FC602F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D5865"/>
  <w15:docId w15:val="{998CC4E6-9A46-4818-9BE2-661B58E8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D25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59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D25944"/>
    <w:rPr>
      <w:rFonts w:cs="Times New Roman"/>
      <w:vertAlign w:val="superscript"/>
    </w:rPr>
  </w:style>
  <w:style w:type="table" w:styleId="Tabela-Siatka">
    <w:name w:val="Table Grid"/>
    <w:basedOn w:val="Standardowy"/>
    <w:rsid w:val="00D2594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944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unhideWhenUsed/>
    <w:qFormat/>
    <w:rsid w:val="00FA06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A062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Nota,Ref,Char"/>
    <w:basedOn w:val="Domylnaczcionkaakapitu"/>
    <w:uiPriority w:val="99"/>
    <w:unhideWhenUsed/>
    <w:qFormat/>
    <w:rsid w:val="00FA062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57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5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8EF"/>
  </w:style>
  <w:style w:type="paragraph" w:styleId="Stopka">
    <w:name w:val="footer"/>
    <w:basedOn w:val="Normalny"/>
    <w:link w:val="StopkaZnak"/>
    <w:uiPriority w:val="99"/>
    <w:unhideWhenUsed/>
    <w:rsid w:val="00156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8EF"/>
  </w:style>
  <w:style w:type="character" w:customStyle="1" w:styleId="Nagwek2Znak">
    <w:name w:val="Nagłówek 2 Znak"/>
    <w:basedOn w:val="Domylnaczcionkaakapitu"/>
    <w:link w:val="Nagwek2"/>
    <w:uiPriority w:val="9"/>
    <w:rsid w:val="004605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25A3B"/>
    <w:pPr>
      <w:spacing w:after="0" w:line="240" w:lineRule="auto"/>
    </w:pPr>
  </w:style>
  <w:style w:type="paragraph" w:customStyle="1" w:styleId="Default">
    <w:name w:val="Default"/>
    <w:rsid w:val="00CB7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B7B4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CB7B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hidden/>
    <w:uiPriority w:val="39"/>
    <w:rsid w:val="00FB1990"/>
    <w:pPr>
      <w:spacing w:after="237" w:line="259" w:lineRule="auto"/>
      <w:ind w:left="133" w:right="64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6D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6D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68"/>
    <w:rPr>
      <w:b/>
      <w:bCs/>
      <w:sz w:val="20"/>
      <w:szCs w:val="20"/>
    </w:rPr>
  </w:style>
  <w:style w:type="paragraph" w:styleId="Bezodstpw">
    <w:name w:val="No Spacing"/>
    <w:uiPriority w:val="1"/>
    <w:qFormat/>
    <w:rsid w:val="006C451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3411-97AA-46DC-B689-A05DD501B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Partnera/Podmiotu upoważnionego do ponoszenia wydatków</vt:lpstr>
    </vt:vector>
  </TitlesOfParts>
  <Company>Instytucja Zarządzająca Funduszami Europejskimi dla Dolnego Śląska 2021-2027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Partnera/Podmiotu upoważnionego do ponoszenia wydatków</dc:title>
  <dc:subject>kwalifikowalność podatku VAT w projekcie FEDS 2021-2027</dc:subject>
  <dc:creator>JKocz</dc:creator>
  <cp:keywords>VAT,oświadczenie;projekt partnerski;Partner;partnerstwo;Podmiot upoważniony do ponoszenia wydatków</cp:keywords>
  <cp:lastModifiedBy>Michalina Tondytko</cp:lastModifiedBy>
  <cp:revision>5</cp:revision>
  <cp:lastPrinted>2025-01-23T11:33:00Z</cp:lastPrinted>
  <dcterms:created xsi:type="dcterms:W3CDTF">2025-12-30T07:43:00Z</dcterms:created>
  <dcterms:modified xsi:type="dcterms:W3CDTF">2026-01-22T22:09:00Z</dcterms:modified>
  <cp:category>załącznik do umowy o dofinansowanie projektu FEDS 2021-2027</cp:category>
</cp:coreProperties>
</file>